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1AF62C8A" w:rsidR="00655955" w:rsidRPr="00765A7A" w:rsidRDefault="00655955" w:rsidP="00ED07FB"/>
    <w:tbl>
      <w:tblPr>
        <w:tblW w:w="9837" w:type="dxa"/>
        <w:tblLook w:val="04A0" w:firstRow="1" w:lastRow="0" w:firstColumn="1" w:lastColumn="0" w:noHBand="0" w:noVBand="1"/>
      </w:tblPr>
      <w:tblGrid>
        <w:gridCol w:w="3300"/>
        <w:gridCol w:w="6537"/>
      </w:tblGrid>
      <w:tr w:rsidR="00C669C8" w:rsidRPr="00765A7A" w14:paraId="1CB558DB" w14:textId="77777777" w:rsidTr="005F6A88">
        <w:trPr>
          <w:trHeight w:val="4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6D940775" w:rsidR="00C669C8" w:rsidRPr="00AD6BC5" w:rsidRDefault="00AD6BC5" w:rsidP="00ED07FB">
            <w:pPr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IPS-03C</w:t>
            </w:r>
          </w:p>
        </w:tc>
      </w:tr>
      <w:tr w:rsidR="00C669C8" w:rsidRPr="00765A7A" w14:paraId="0BCA457D" w14:textId="77777777" w:rsidTr="005F6A88">
        <w:trPr>
          <w:trHeight w:val="80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AD6BC5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164B696D" w:rsidR="00C669C8" w:rsidRPr="00AD6BC5" w:rsidRDefault="00AD6BC5" w:rsidP="00155C12">
            <w:pPr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Interpersonal skills, </w:t>
            </w:r>
            <w:r w:rsidR="00362964" w:rsidRPr="00AD6BC5">
              <w:rPr>
                <w:sz w:val="20"/>
                <w:szCs w:val="20"/>
                <w:lang w:eastAsia="en-CA"/>
              </w:rPr>
              <w:t>Communication</w:t>
            </w:r>
            <w:r w:rsidRPr="00AD6BC5">
              <w:rPr>
                <w:sz w:val="20"/>
                <w:szCs w:val="20"/>
                <w:lang w:eastAsia="en-CA"/>
              </w:rPr>
              <w:t xml:space="preserve">, Common </w:t>
            </w:r>
            <w:r>
              <w:rPr>
                <w:sz w:val="20"/>
                <w:szCs w:val="20"/>
                <w:lang w:eastAsia="en-CA"/>
              </w:rPr>
              <w:t>c</w:t>
            </w:r>
            <w:r w:rsidRPr="00AD6BC5">
              <w:rPr>
                <w:sz w:val="20"/>
                <w:szCs w:val="20"/>
                <w:lang w:eastAsia="en-CA"/>
              </w:rPr>
              <w:t>ore</w:t>
            </w:r>
          </w:p>
        </w:tc>
      </w:tr>
      <w:tr w:rsidR="00C669C8" w:rsidRPr="00765A7A" w14:paraId="4E78AEFD" w14:textId="77777777" w:rsidTr="005F6A88">
        <w:trPr>
          <w:trHeight w:val="4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042DE123" w:rsidR="00BD2167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2F4807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AD6BC5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2F4807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AD6BC5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2597791B" w:rsidR="00C669C8" w:rsidRPr="00AD6BC5" w:rsidRDefault="009B5CA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Use Communication Equipment and Technology</w:t>
            </w:r>
          </w:p>
        </w:tc>
      </w:tr>
      <w:tr w:rsidR="00C669C8" w:rsidRPr="00765A7A" w14:paraId="6C82B609" w14:textId="77777777" w:rsidTr="005F6A88">
        <w:trPr>
          <w:trHeight w:val="76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5699ACB0" w:rsidR="00C669C8" w:rsidRPr="00AD6BC5" w:rsidRDefault="00362964" w:rsidP="00362964">
            <w:pPr>
              <w:rPr>
                <w:sz w:val="20"/>
                <w:szCs w:val="20"/>
                <w:lang w:eastAsia="en-CA"/>
              </w:rPr>
            </w:pPr>
            <w:r w:rsidRPr="00AD6BC5">
              <w:rPr>
                <w:sz w:val="20"/>
                <w:szCs w:val="20"/>
                <w:lang w:eastAsia="en-CA"/>
              </w:rPr>
              <w:t>Use communication equipment and technology according to task, role and workplace requirements</w:t>
            </w:r>
            <w:r w:rsidR="00404C7F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5F6A88">
        <w:trPr>
          <w:trHeight w:val="230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4E40" w14:textId="4FB4C47E" w:rsidR="00362964" w:rsidRPr="00AD6BC5" w:rsidRDefault="00362964" w:rsidP="00362964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AD6BC5">
              <w:rPr>
                <w:sz w:val="20"/>
                <w:szCs w:val="20"/>
                <w:lang w:eastAsia="en-CA"/>
              </w:rPr>
              <w:t xml:space="preserve">Select appropriate communication equipment and technology according to </w:t>
            </w:r>
            <w:r w:rsidR="002763D3" w:rsidRPr="00AD6BC5">
              <w:rPr>
                <w:sz w:val="20"/>
                <w:szCs w:val="20"/>
                <w:lang w:eastAsia="en-CA"/>
              </w:rPr>
              <w:t xml:space="preserve">role and </w:t>
            </w:r>
            <w:r w:rsidRPr="00AD6BC5">
              <w:rPr>
                <w:sz w:val="20"/>
                <w:szCs w:val="20"/>
                <w:lang w:eastAsia="en-CA"/>
              </w:rPr>
              <w:t>task requirements</w:t>
            </w:r>
          </w:p>
          <w:p w14:paraId="7EADA033" w14:textId="014FDBB7" w:rsidR="00362964" w:rsidRPr="00AD6BC5" w:rsidRDefault="00362964" w:rsidP="00362964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AD6BC5">
              <w:rPr>
                <w:sz w:val="20"/>
                <w:szCs w:val="20"/>
                <w:lang w:eastAsia="en-CA"/>
              </w:rPr>
              <w:t xml:space="preserve">Use communication equipment and technology according to manufacturer's directions and workplace </w:t>
            </w:r>
            <w:r w:rsidR="00DF63A1">
              <w:rPr>
                <w:sz w:val="20"/>
                <w:szCs w:val="20"/>
                <w:lang w:eastAsia="en-CA"/>
              </w:rPr>
              <w:t>commu</w:t>
            </w:r>
            <w:r w:rsidR="00C4518F">
              <w:rPr>
                <w:sz w:val="20"/>
                <w:szCs w:val="20"/>
                <w:lang w:eastAsia="en-CA"/>
              </w:rPr>
              <w:t>nication protocols</w:t>
            </w:r>
          </w:p>
          <w:p w14:paraId="09D87955" w14:textId="65E7B225" w:rsidR="00835F5D" w:rsidRPr="00AD6BC5" w:rsidRDefault="00362964" w:rsidP="00362964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AD6BC5">
              <w:rPr>
                <w:sz w:val="20"/>
                <w:szCs w:val="20"/>
                <w:lang w:eastAsia="en-CA"/>
              </w:rPr>
              <w:t>Report any problems with communication equipment and technology to appropriate personnel according to workplace procedures</w:t>
            </w:r>
          </w:p>
        </w:tc>
      </w:tr>
      <w:tr w:rsidR="00C669C8" w:rsidRPr="00765A7A" w14:paraId="5C5D6EBF" w14:textId="77777777" w:rsidTr="005F6A88">
        <w:trPr>
          <w:trHeight w:val="21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D906" w14:textId="7888B508" w:rsidR="001F1348" w:rsidRPr="00C664CB" w:rsidRDefault="001F1348" w:rsidP="001F1348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664CB">
              <w:rPr>
                <w:b/>
                <w:bCs/>
                <w:sz w:val="20"/>
                <w:szCs w:val="20"/>
                <w:lang w:eastAsia="en-CA"/>
              </w:rPr>
              <w:t>Knowledge:</w:t>
            </w:r>
          </w:p>
          <w:p w14:paraId="140B4F6F" w14:textId="68386183" w:rsidR="009B38AA" w:rsidRDefault="009B38AA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Uses and operation of </w:t>
            </w:r>
            <w:r w:rsidRPr="00AD6BC5">
              <w:rPr>
                <w:sz w:val="20"/>
                <w:szCs w:val="20"/>
                <w:lang w:eastAsia="en-CA"/>
              </w:rPr>
              <w:t>communication equipment and technology</w:t>
            </w:r>
            <w:r>
              <w:rPr>
                <w:sz w:val="20"/>
                <w:szCs w:val="20"/>
                <w:lang w:eastAsia="en-CA"/>
              </w:rPr>
              <w:t xml:space="preserve"> specific to </w:t>
            </w:r>
            <w:r w:rsidR="0047333C">
              <w:rPr>
                <w:sz w:val="20"/>
                <w:szCs w:val="20"/>
                <w:lang w:eastAsia="en-CA"/>
              </w:rPr>
              <w:t>a role and workplace</w:t>
            </w:r>
          </w:p>
          <w:p w14:paraId="00E9F750" w14:textId="000E996C" w:rsidR="00FA55FC" w:rsidRDefault="009B38AA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Workplace procedures for </w:t>
            </w:r>
            <w:r w:rsidR="0047333C">
              <w:rPr>
                <w:sz w:val="20"/>
                <w:szCs w:val="20"/>
                <w:lang w:eastAsia="en-CA"/>
              </w:rPr>
              <w:t xml:space="preserve">the </w:t>
            </w:r>
            <w:r>
              <w:rPr>
                <w:sz w:val="20"/>
                <w:szCs w:val="20"/>
                <w:lang w:eastAsia="en-CA"/>
              </w:rPr>
              <w:t>use of communication equipment and technology</w:t>
            </w:r>
          </w:p>
          <w:p w14:paraId="577FC961" w14:textId="29E71C92" w:rsidR="001F1348" w:rsidRPr="00C664CB" w:rsidRDefault="0047333C" w:rsidP="00C664CB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Workplace communication protocols</w:t>
            </w:r>
          </w:p>
        </w:tc>
      </w:tr>
      <w:tr w:rsidR="00C669C8" w:rsidRPr="00765A7A" w14:paraId="7B53C609" w14:textId="77777777" w:rsidTr="005F6A88">
        <w:trPr>
          <w:trHeight w:val="485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Key Terms/Definitions Required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B348" w14:textId="77777777" w:rsidR="008E08B5" w:rsidRPr="00951AE2" w:rsidRDefault="008E08B5" w:rsidP="008E08B5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51A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6C940B0E" w14:textId="3FB5ECBB" w:rsidR="008E08B5" w:rsidRPr="003D6D77" w:rsidRDefault="008E08B5" w:rsidP="003D6D77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</w:t>
            </w:r>
            <w:r w:rsidRPr="00AB7EA5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eople within or external to an organization that need to be notified or updated, according to the policies and procedures dictated by the workplace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or an external body</w:t>
            </w:r>
            <w:r w:rsidR="00121B2D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4D15D934" w14:textId="359FA9BA" w:rsidR="00BD2167" w:rsidRPr="003D6D77" w:rsidRDefault="002763D3" w:rsidP="003D6D77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3D6D77">
              <w:rPr>
                <w:b/>
                <w:bCs/>
                <w:sz w:val="20"/>
                <w:szCs w:val="20"/>
                <w:lang w:eastAsia="en-CA"/>
              </w:rPr>
              <w:t>communication equipment and technology</w:t>
            </w:r>
          </w:p>
          <w:p w14:paraId="493F121F" w14:textId="4147A0B8" w:rsidR="003D6D77" w:rsidRPr="00AD6BC5" w:rsidRDefault="003D6D77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3D6D77">
              <w:rPr>
                <w:sz w:val="20"/>
                <w:szCs w:val="20"/>
                <w:lang w:eastAsia="en-CA"/>
              </w:rPr>
              <w:t xml:space="preserve">Telephones, email, </w:t>
            </w:r>
            <w:r w:rsidR="00A25DFC">
              <w:rPr>
                <w:sz w:val="20"/>
                <w:szCs w:val="20"/>
                <w:lang w:eastAsia="en-CA"/>
              </w:rPr>
              <w:t xml:space="preserve">web conferencing software, </w:t>
            </w:r>
            <w:r w:rsidRPr="003D6D77">
              <w:rPr>
                <w:sz w:val="20"/>
                <w:szCs w:val="20"/>
                <w:lang w:eastAsia="en-CA"/>
              </w:rPr>
              <w:t xml:space="preserve">text messaging, </w:t>
            </w:r>
            <w:r w:rsidR="003B4DDD">
              <w:rPr>
                <w:sz w:val="20"/>
                <w:szCs w:val="20"/>
                <w:lang w:eastAsia="en-CA"/>
              </w:rPr>
              <w:t xml:space="preserve">two-way </w:t>
            </w:r>
            <w:r w:rsidRPr="003D6D77">
              <w:rPr>
                <w:sz w:val="20"/>
                <w:szCs w:val="20"/>
                <w:lang w:eastAsia="en-CA"/>
              </w:rPr>
              <w:t>radios, and other systems used to communicate in the workplace</w:t>
            </w:r>
            <w:r w:rsidR="00A25DFC">
              <w:rPr>
                <w:sz w:val="20"/>
                <w:szCs w:val="20"/>
                <w:lang w:eastAsia="en-CA"/>
              </w:rPr>
              <w:t xml:space="preserve"> and while working remotely</w:t>
            </w:r>
            <w:r w:rsidR="00121B2D">
              <w:rPr>
                <w:sz w:val="20"/>
                <w:szCs w:val="20"/>
                <w:lang w:eastAsia="en-CA"/>
              </w:rPr>
              <w:t>.</w:t>
            </w:r>
          </w:p>
          <w:p w14:paraId="504E8ABF" w14:textId="77777777" w:rsidR="00507F91" w:rsidRPr="005E61DB" w:rsidRDefault="00507F91" w:rsidP="00507F91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5E61DB">
              <w:rPr>
                <w:b/>
                <w:bCs/>
                <w:sz w:val="20"/>
                <w:szCs w:val="20"/>
                <w:lang w:eastAsia="en-CA"/>
              </w:rPr>
              <w:t xml:space="preserve">workplace </w:t>
            </w:r>
            <w:r>
              <w:rPr>
                <w:b/>
                <w:bCs/>
                <w:sz w:val="20"/>
                <w:szCs w:val="20"/>
                <w:lang w:eastAsia="en-CA"/>
              </w:rPr>
              <w:t xml:space="preserve">communication </w:t>
            </w:r>
            <w:r w:rsidRPr="005E61DB">
              <w:rPr>
                <w:b/>
                <w:bCs/>
                <w:sz w:val="20"/>
                <w:szCs w:val="20"/>
                <w:lang w:eastAsia="en-CA"/>
              </w:rPr>
              <w:t>pro</w:t>
            </w:r>
            <w:r>
              <w:rPr>
                <w:b/>
                <w:bCs/>
                <w:sz w:val="20"/>
                <w:szCs w:val="20"/>
                <w:lang w:eastAsia="en-CA"/>
              </w:rPr>
              <w:t>tocols</w:t>
            </w:r>
          </w:p>
          <w:p w14:paraId="3268D8D9" w14:textId="702DA770" w:rsidR="002763D3" w:rsidRPr="00AD6BC5" w:rsidRDefault="00507F91" w:rsidP="00507F91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8638BC">
              <w:rPr>
                <w:sz w:val="20"/>
                <w:szCs w:val="20"/>
                <w:lang w:eastAsia="en-CA"/>
              </w:rPr>
              <w:t>Policies and procedures about communicating in a specific workplace. These may include guidance on use of language as well as observing a specific chain of command when communicating, as well as policies on personal communication during work hours.</w:t>
            </w:r>
          </w:p>
        </w:tc>
      </w:tr>
      <w:tr w:rsidR="00C669C8" w:rsidRPr="00765A7A" w14:paraId="621D3FF2" w14:textId="77777777" w:rsidTr="005F6A88">
        <w:trPr>
          <w:trHeight w:val="2557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lastRenderedPageBreak/>
              <w:t>Context/Examples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C712" w14:textId="77777777" w:rsidR="00BD2167" w:rsidRDefault="00B118B0" w:rsidP="00A375E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Many jobs have some reliance on the use of communication equipment and technology to communicate with colleagues, customers, and othe</w:t>
            </w:r>
            <w:r w:rsidRPr="00A375E2">
              <w:rPr>
                <w:sz w:val="20"/>
                <w:szCs w:val="20"/>
                <w:lang w:eastAsia="en-CA"/>
              </w:rPr>
              <w:t>rs</w:t>
            </w:r>
            <w:r w:rsidR="00A375E2" w:rsidRPr="00A375E2">
              <w:rPr>
                <w:sz w:val="20"/>
                <w:szCs w:val="20"/>
                <w:lang w:eastAsia="en-CA"/>
              </w:rPr>
              <w:t>.</w:t>
            </w:r>
            <w:r w:rsidR="00A375E2">
              <w:rPr>
                <w:sz w:val="20"/>
                <w:szCs w:val="20"/>
                <w:lang w:eastAsia="en-CA"/>
              </w:rPr>
              <w:t xml:space="preserve"> The type and scope of the equipment and technology may vary greatly by role and work environment.</w:t>
            </w:r>
          </w:p>
          <w:p w14:paraId="75694231" w14:textId="5B80F41D" w:rsidR="00A375E2" w:rsidRPr="00A375E2" w:rsidRDefault="007556ED" w:rsidP="00A375E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Working remotely </w:t>
            </w:r>
            <w:r w:rsidR="00CE79C8">
              <w:rPr>
                <w:sz w:val="20"/>
                <w:szCs w:val="20"/>
                <w:lang w:eastAsia="en-CA"/>
              </w:rPr>
              <w:t>increases</w:t>
            </w:r>
            <w:r>
              <w:rPr>
                <w:sz w:val="20"/>
                <w:szCs w:val="20"/>
                <w:lang w:eastAsia="en-CA"/>
              </w:rPr>
              <w:t xml:space="preserve"> the use of technology for workplace communication and collaboration, </w:t>
            </w:r>
            <w:r w:rsidR="00CE79C8">
              <w:rPr>
                <w:sz w:val="20"/>
                <w:szCs w:val="20"/>
                <w:lang w:eastAsia="en-CA"/>
              </w:rPr>
              <w:t xml:space="preserve">compared to the same role </w:t>
            </w:r>
            <w:r w:rsidR="00097DC3">
              <w:rPr>
                <w:sz w:val="20"/>
                <w:szCs w:val="20"/>
                <w:lang w:eastAsia="en-CA"/>
              </w:rPr>
              <w:t xml:space="preserve">when </w:t>
            </w:r>
            <w:r w:rsidR="00CE79C8">
              <w:rPr>
                <w:sz w:val="20"/>
                <w:szCs w:val="20"/>
                <w:lang w:eastAsia="en-CA"/>
              </w:rPr>
              <w:t>primarily based in the same worksite as other</w:t>
            </w:r>
            <w:r w:rsidR="00097DC3">
              <w:rPr>
                <w:sz w:val="20"/>
                <w:szCs w:val="20"/>
                <w:lang w:eastAsia="en-CA"/>
              </w:rPr>
              <w:t xml:space="preserve"> colleagues and team members.</w:t>
            </w:r>
          </w:p>
        </w:tc>
      </w:tr>
      <w:tr w:rsidR="00C669C8" w:rsidRPr="00765A7A" w14:paraId="0D58F08A" w14:textId="77777777" w:rsidTr="005F6A88">
        <w:trPr>
          <w:trHeight w:val="138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90B" w14:textId="50A7D52B" w:rsidR="00BD2167" w:rsidRDefault="00097DC3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Training for specific pieces of communication equipment and technology</w:t>
            </w:r>
          </w:p>
          <w:p w14:paraId="67DFBCC0" w14:textId="6943B540" w:rsidR="00097DC3" w:rsidRPr="00AD6BC5" w:rsidRDefault="00097DC3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Training on workplace policies and procedures related to communication and communication equipment</w:t>
            </w:r>
          </w:p>
        </w:tc>
      </w:tr>
      <w:tr w:rsidR="00C669C8" w:rsidRPr="00765A7A" w14:paraId="2C197AEF" w14:textId="77777777" w:rsidTr="005F6A88">
        <w:trPr>
          <w:trHeight w:val="138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AD6BC5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D6BC5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AD6BC5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3B6C" w14:textId="77777777" w:rsidR="00BD2167" w:rsidRDefault="00097DC3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Observation of the candidate through direct or indirect </w:t>
            </w:r>
            <w:r w:rsidR="00B75E8C">
              <w:rPr>
                <w:sz w:val="20"/>
                <w:szCs w:val="20"/>
                <w:lang w:eastAsia="en-CA"/>
              </w:rPr>
              <w:t>interactions</w:t>
            </w:r>
            <w:r>
              <w:rPr>
                <w:sz w:val="20"/>
                <w:szCs w:val="20"/>
                <w:lang w:eastAsia="en-CA"/>
              </w:rPr>
              <w:t xml:space="preserve"> while using comm</w:t>
            </w:r>
            <w:r w:rsidR="00B75E8C">
              <w:rPr>
                <w:sz w:val="20"/>
                <w:szCs w:val="20"/>
                <w:lang w:eastAsia="en-CA"/>
              </w:rPr>
              <w:t>unication equipment and technology.</w:t>
            </w:r>
          </w:p>
          <w:p w14:paraId="1D644E38" w14:textId="73ED8410" w:rsidR="00B75E8C" w:rsidRPr="00AD6BC5" w:rsidRDefault="00B75E8C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Training records for specific communication equipment (e.g. </w:t>
            </w:r>
            <w:r w:rsidR="00FB15D3">
              <w:rPr>
                <w:sz w:val="20"/>
                <w:szCs w:val="20"/>
                <w:lang w:eastAsia="en-CA"/>
              </w:rPr>
              <w:t xml:space="preserve">valid radio </w:t>
            </w:r>
            <w:r>
              <w:rPr>
                <w:sz w:val="20"/>
                <w:szCs w:val="20"/>
                <w:lang w:eastAsia="en-CA"/>
              </w:rPr>
              <w:t xml:space="preserve">operator’s </w:t>
            </w:r>
            <w:r w:rsidR="00FB15D3">
              <w:rPr>
                <w:sz w:val="20"/>
                <w:szCs w:val="20"/>
                <w:lang w:eastAsia="en-CA"/>
              </w:rPr>
              <w:t>certificate</w:t>
            </w:r>
            <w:r>
              <w:rPr>
                <w:sz w:val="20"/>
                <w:szCs w:val="20"/>
                <w:lang w:eastAsia="en-CA"/>
              </w:rPr>
              <w:t>)</w:t>
            </w:r>
            <w:r w:rsidR="00121B2D">
              <w:rPr>
                <w:sz w:val="20"/>
                <w:szCs w:val="20"/>
                <w:lang w:eastAsia="en-CA"/>
              </w:rPr>
              <w:t>.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28C53" w14:textId="77777777" w:rsidR="00243CAD" w:rsidRDefault="00243CAD" w:rsidP="00ED07FB">
      <w:r>
        <w:separator/>
      </w:r>
    </w:p>
  </w:endnote>
  <w:endnote w:type="continuationSeparator" w:id="0">
    <w:p w14:paraId="53092455" w14:textId="77777777" w:rsidR="00243CAD" w:rsidRDefault="00243CAD" w:rsidP="00ED07FB">
      <w:r>
        <w:continuationSeparator/>
      </w:r>
    </w:p>
  </w:endnote>
  <w:endnote w:type="continuationNotice" w:id="1">
    <w:p w14:paraId="0C9BD07A" w14:textId="77777777" w:rsidR="00243CAD" w:rsidRDefault="00243CAD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008F" w14:textId="77777777" w:rsidR="00C6616D" w:rsidRDefault="00C66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6BD01" w14:textId="63643907" w:rsidR="00C664CB" w:rsidRPr="00C664CB" w:rsidRDefault="00E706BB" w:rsidP="00C664CB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E706BB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FCE0B8" wp14:editId="7B45D7B2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BBA293" w14:textId="77777777" w:rsidR="00E706BB" w:rsidRDefault="00E706BB" w:rsidP="00E706BB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rStyle w:val="NoSpacingChar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NoSpacingChar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FCE0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0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" filled="f" stroked="f" strokeweight=".5pt">
              <v:textbox>
                <w:txbxContent>
                  <w:p w14:paraId="43BBA293" w14:textId="77777777" w:rsidR="00E706BB" w:rsidRDefault="00E706BB" w:rsidP="00E706BB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NoSpacingChar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NoSpacingChar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706BB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58242" behindDoc="1" locked="0" layoutInCell="1" allowOverlap="1" wp14:anchorId="4170B43C" wp14:editId="1BBF4348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BB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58243" behindDoc="1" locked="0" layoutInCell="1" allowOverlap="1" wp14:anchorId="1384E0B3" wp14:editId="6BACE7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90BD" w14:textId="77777777" w:rsidR="00C6616D" w:rsidRDefault="00C6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118B1" w14:textId="77777777" w:rsidR="00243CAD" w:rsidRDefault="00243CAD" w:rsidP="00ED07FB">
      <w:r>
        <w:separator/>
      </w:r>
    </w:p>
  </w:footnote>
  <w:footnote w:type="continuationSeparator" w:id="0">
    <w:p w14:paraId="72D668F2" w14:textId="77777777" w:rsidR="00243CAD" w:rsidRDefault="00243CAD" w:rsidP="00ED07FB">
      <w:r>
        <w:continuationSeparator/>
      </w:r>
    </w:p>
  </w:footnote>
  <w:footnote w:type="continuationNotice" w:id="1">
    <w:p w14:paraId="5551D922" w14:textId="77777777" w:rsidR="00243CAD" w:rsidRDefault="00243CAD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4626" w14:textId="77777777" w:rsidR="00C6616D" w:rsidRDefault="00C66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363F160B" w:rsidR="00135C4F" w:rsidRDefault="005F6A88" w:rsidP="00ED07FB">
    <w:pPr>
      <w:pStyle w:val="Header"/>
      <w:rPr>
        <w:rFonts w:ascii="Delicious" w:hAnsi="Delicious"/>
      </w:rPr>
    </w:pPr>
    <w:r w:rsidRPr="005F6A88">
      <w:rPr>
        <w:rFonts w:ascii="Times New Roman" w:eastAsia="Times New Roman" w:hAnsi="Times New Roman" w:cs="Times New Roman"/>
        <w:b/>
        <w:bCs/>
        <w:noProof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E769D92" wp14:editId="423F64CC">
              <wp:simplePos x="0" y="0"/>
              <wp:positionH relativeFrom="column">
                <wp:posOffset>-66040</wp:posOffset>
              </wp:positionH>
              <wp:positionV relativeFrom="paragraph">
                <wp:posOffset>-179705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26E952" w14:textId="77777777" w:rsidR="005F6A88" w:rsidRPr="00C6616D" w:rsidRDefault="005F6A88" w:rsidP="005F6A88">
                          <w:pPr>
                            <w:rPr>
                              <w:color w:val="FFFFFF" w:themeColor="background1"/>
                            </w:rPr>
                          </w:pPr>
                          <w:r w:rsidRPr="00C6616D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69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2pt;margin-top:-14.15pt;width:410.15pt;height:56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" filled="f" stroked="f" strokeweight=".5pt">
              <v:textbox>
                <w:txbxContent>
                  <w:p w14:paraId="6526E952" w14:textId="77777777" w:rsidR="005F6A88" w:rsidRPr="00C6616D" w:rsidRDefault="005F6A88" w:rsidP="005F6A88">
                    <w:pPr>
                      <w:rPr>
                        <w:color w:val="FFFFFF" w:themeColor="background1"/>
                      </w:rPr>
                    </w:pPr>
                    <w:r w:rsidRPr="00C6616D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  <w:r w:rsidRPr="005F6A88">
      <w:rPr>
        <w:rFonts w:ascii="Times New Roman" w:eastAsia="Times New Roman" w:hAnsi="Times New Roman" w:cs="Times New Roman"/>
        <w:b/>
        <w:bCs/>
        <w:noProof/>
        <w:sz w:val="36"/>
        <w:szCs w:val="36"/>
        <w:lang w:eastAsia="en-CA"/>
      </w:rPr>
      <w:drawing>
        <wp:anchor distT="0" distB="0" distL="114300" distR="114300" simplePos="0" relativeHeight="251658244" behindDoc="1" locked="0" layoutInCell="1" allowOverlap="1" wp14:anchorId="16F49A15" wp14:editId="0ECE225A">
          <wp:simplePos x="0" y="0"/>
          <wp:positionH relativeFrom="column">
            <wp:posOffset>-5068957</wp:posOffset>
          </wp:positionH>
          <wp:positionV relativeFrom="paragraph">
            <wp:posOffset>-437461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7E100" w14:textId="6AC2DC53" w:rsidR="00135C4F" w:rsidRDefault="00135C4F" w:rsidP="00ED07FB">
    <w:pPr>
      <w:pStyle w:val="Header"/>
    </w:pPr>
  </w:p>
  <w:p w14:paraId="7FEFA838" w14:textId="0FBB166F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A52204" wp14:editId="7043EBEF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1573DE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A1BD" w14:textId="77777777" w:rsidR="00C6616D" w:rsidRDefault="00C66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FF0"/>
    <w:rsid w:val="00092A49"/>
    <w:rsid w:val="00095313"/>
    <w:rsid w:val="00096698"/>
    <w:rsid w:val="00096FBC"/>
    <w:rsid w:val="00097DC3"/>
    <w:rsid w:val="000A18B4"/>
    <w:rsid w:val="000A1DBA"/>
    <w:rsid w:val="000A492B"/>
    <w:rsid w:val="000A6143"/>
    <w:rsid w:val="000A7421"/>
    <w:rsid w:val="000B1930"/>
    <w:rsid w:val="000B3D0A"/>
    <w:rsid w:val="000B5A6E"/>
    <w:rsid w:val="000C7209"/>
    <w:rsid w:val="000C7F01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1B2D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56CD9"/>
    <w:rsid w:val="0016086C"/>
    <w:rsid w:val="00164788"/>
    <w:rsid w:val="00164A46"/>
    <w:rsid w:val="00164E78"/>
    <w:rsid w:val="001660A4"/>
    <w:rsid w:val="00166FC2"/>
    <w:rsid w:val="00171FE2"/>
    <w:rsid w:val="00174243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1348"/>
    <w:rsid w:val="001F4EAE"/>
    <w:rsid w:val="001F6E38"/>
    <w:rsid w:val="00203A9A"/>
    <w:rsid w:val="00203C7D"/>
    <w:rsid w:val="00203EBF"/>
    <w:rsid w:val="00204BB3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3CAD"/>
    <w:rsid w:val="00245C5D"/>
    <w:rsid w:val="00252DEA"/>
    <w:rsid w:val="002538EB"/>
    <w:rsid w:val="00257281"/>
    <w:rsid w:val="0026223C"/>
    <w:rsid w:val="00263A87"/>
    <w:rsid w:val="00270AA6"/>
    <w:rsid w:val="00271A32"/>
    <w:rsid w:val="00274322"/>
    <w:rsid w:val="00275C39"/>
    <w:rsid w:val="0027615E"/>
    <w:rsid w:val="002763D3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4B87"/>
    <w:rsid w:val="002B5F5B"/>
    <w:rsid w:val="002B6532"/>
    <w:rsid w:val="002B674B"/>
    <w:rsid w:val="002B6877"/>
    <w:rsid w:val="002B69BD"/>
    <w:rsid w:val="002B6F67"/>
    <w:rsid w:val="002C028A"/>
    <w:rsid w:val="002C38C1"/>
    <w:rsid w:val="002C497C"/>
    <w:rsid w:val="002C4AD9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807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2964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106C"/>
    <w:rsid w:val="003924DA"/>
    <w:rsid w:val="00397042"/>
    <w:rsid w:val="00397053"/>
    <w:rsid w:val="003A2591"/>
    <w:rsid w:val="003A34D6"/>
    <w:rsid w:val="003A3743"/>
    <w:rsid w:val="003A40AD"/>
    <w:rsid w:val="003A7C36"/>
    <w:rsid w:val="003B0024"/>
    <w:rsid w:val="003B03CE"/>
    <w:rsid w:val="003B1AA9"/>
    <w:rsid w:val="003B4535"/>
    <w:rsid w:val="003B4DDD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D52D1"/>
    <w:rsid w:val="003D6D77"/>
    <w:rsid w:val="003E18E8"/>
    <w:rsid w:val="003E22DC"/>
    <w:rsid w:val="003E47F5"/>
    <w:rsid w:val="003E76EF"/>
    <w:rsid w:val="003F14B8"/>
    <w:rsid w:val="003F5393"/>
    <w:rsid w:val="0040134D"/>
    <w:rsid w:val="00403644"/>
    <w:rsid w:val="00404A62"/>
    <w:rsid w:val="00404C7F"/>
    <w:rsid w:val="00404F7C"/>
    <w:rsid w:val="00406A00"/>
    <w:rsid w:val="004168D2"/>
    <w:rsid w:val="00417816"/>
    <w:rsid w:val="0042010C"/>
    <w:rsid w:val="00420637"/>
    <w:rsid w:val="0042107D"/>
    <w:rsid w:val="00421E93"/>
    <w:rsid w:val="0042217A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33C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B0DA6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07F91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0EC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5F6A88"/>
    <w:rsid w:val="006005C1"/>
    <w:rsid w:val="00600D27"/>
    <w:rsid w:val="006010AF"/>
    <w:rsid w:val="0060441B"/>
    <w:rsid w:val="006075EC"/>
    <w:rsid w:val="006076FF"/>
    <w:rsid w:val="0060787D"/>
    <w:rsid w:val="00613037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6B8F"/>
    <w:rsid w:val="0067022C"/>
    <w:rsid w:val="00671EED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4361"/>
    <w:rsid w:val="006F6326"/>
    <w:rsid w:val="006F6AD0"/>
    <w:rsid w:val="006F732B"/>
    <w:rsid w:val="00701026"/>
    <w:rsid w:val="00707110"/>
    <w:rsid w:val="007075BA"/>
    <w:rsid w:val="00710231"/>
    <w:rsid w:val="00711118"/>
    <w:rsid w:val="00714298"/>
    <w:rsid w:val="00714455"/>
    <w:rsid w:val="0071484A"/>
    <w:rsid w:val="00723F30"/>
    <w:rsid w:val="00727D94"/>
    <w:rsid w:val="00732E45"/>
    <w:rsid w:val="00733E0A"/>
    <w:rsid w:val="00735768"/>
    <w:rsid w:val="00741D28"/>
    <w:rsid w:val="007440A1"/>
    <w:rsid w:val="00744942"/>
    <w:rsid w:val="00745ECE"/>
    <w:rsid w:val="00746AAC"/>
    <w:rsid w:val="0075551B"/>
    <w:rsid w:val="007556ED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52FF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C52AA"/>
    <w:rsid w:val="008C581A"/>
    <w:rsid w:val="008D554B"/>
    <w:rsid w:val="008E0119"/>
    <w:rsid w:val="008E08B5"/>
    <w:rsid w:val="008E347C"/>
    <w:rsid w:val="008E6342"/>
    <w:rsid w:val="008E6834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B38AA"/>
    <w:rsid w:val="009B5CA8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185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DFC"/>
    <w:rsid w:val="00A25F97"/>
    <w:rsid w:val="00A27373"/>
    <w:rsid w:val="00A32F90"/>
    <w:rsid w:val="00A3614A"/>
    <w:rsid w:val="00A375E2"/>
    <w:rsid w:val="00A40349"/>
    <w:rsid w:val="00A41935"/>
    <w:rsid w:val="00A42D8A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3073"/>
    <w:rsid w:val="00AA4A8D"/>
    <w:rsid w:val="00AB37B8"/>
    <w:rsid w:val="00AB3B2D"/>
    <w:rsid w:val="00AB4604"/>
    <w:rsid w:val="00AB535B"/>
    <w:rsid w:val="00AC057C"/>
    <w:rsid w:val="00AC7E97"/>
    <w:rsid w:val="00AD3861"/>
    <w:rsid w:val="00AD3DA5"/>
    <w:rsid w:val="00AD6BC5"/>
    <w:rsid w:val="00AE1CC6"/>
    <w:rsid w:val="00AE39CA"/>
    <w:rsid w:val="00AE4B71"/>
    <w:rsid w:val="00AE6024"/>
    <w:rsid w:val="00AE75A0"/>
    <w:rsid w:val="00AF51FA"/>
    <w:rsid w:val="00AF63B1"/>
    <w:rsid w:val="00AF7986"/>
    <w:rsid w:val="00B0109D"/>
    <w:rsid w:val="00B02D05"/>
    <w:rsid w:val="00B042A6"/>
    <w:rsid w:val="00B05EE9"/>
    <w:rsid w:val="00B1062C"/>
    <w:rsid w:val="00B118B0"/>
    <w:rsid w:val="00B14E39"/>
    <w:rsid w:val="00B14FF0"/>
    <w:rsid w:val="00B16A05"/>
    <w:rsid w:val="00B21403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75E8C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547D"/>
    <w:rsid w:val="00C40240"/>
    <w:rsid w:val="00C40633"/>
    <w:rsid w:val="00C4171B"/>
    <w:rsid w:val="00C4518F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16D"/>
    <w:rsid w:val="00C664CB"/>
    <w:rsid w:val="00C669C8"/>
    <w:rsid w:val="00C701F1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D126F"/>
    <w:rsid w:val="00CD1888"/>
    <w:rsid w:val="00CD46EF"/>
    <w:rsid w:val="00CE4B14"/>
    <w:rsid w:val="00CE5DDE"/>
    <w:rsid w:val="00CE778A"/>
    <w:rsid w:val="00CE7870"/>
    <w:rsid w:val="00CE79C8"/>
    <w:rsid w:val="00CF3439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73B2"/>
    <w:rsid w:val="00DF13B3"/>
    <w:rsid w:val="00DF5858"/>
    <w:rsid w:val="00DF63A1"/>
    <w:rsid w:val="00E027C0"/>
    <w:rsid w:val="00E040E6"/>
    <w:rsid w:val="00E046ED"/>
    <w:rsid w:val="00E05536"/>
    <w:rsid w:val="00E05F70"/>
    <w:rsid w:val="00E135E0"/>
    <w:rsid w:val="00E14A0F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A20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06BB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5D3"/>
    <w:rsid w:val="00FB1775"/>
    <w:rsid w:val="00FB50FE"/>
    <w:rsid w:val="00FB7044"/>
    <w:rsid w:val="00FD0E91"/>
    <w:rsid w:val="00FD34FA"/>
    <w:rsid w:val="00FD7C98"/>
    <w:rsid w:val="00FE1999"/>
    <w:rsid w:val="00FE409B"/>
    <w:rsid w:val="00FE5431"/>
    <w:rsid w:val="00FE7406"/>
    <w:rsid w:val="00FF1B51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8641F-3955-7D4D-A2C0-925BB82A0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57C620-3508-4AD6-9CA8-81E48F338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28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36</cp:revision>
  <cp:lastPrinted>2020-07-21T20:49:00Z</cp:lastPrinted>
  <dcterms:created xsi:type="dcterms:W3CDTF">2021-02-25T06:04:00Z</dcterms:created>
  <dcterms:modified xsi:type="dcterms:W3CDTF">2021-03-13T07:24:00Z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