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46F1" w14:textId="77777777" w:rsidR="004B5CE0" w:rsidRPr="004B5CE0" w:rsidRDefault="004B5CE0" w:rsidP="004B5CE0">
      <w:pPr>
        <w:pStyle w:val="Heading1"/>
        <w:rPr>
          <w:b/>
          <w:bCs/>
        </w:rPr>
      </w:pPr>
      <w:r w:rsidRPr="004B5CE0">
        <w:t>Instructions for Peer Reviewers</w:t>
      </w:r>
    </w:p>
    <w:p w14:paraId="777FBB1A" w14:textId="77777777" w:rsidR="004B5CE0" w:rsidRDefault="004B5CE0" w:rsidP="004B5CE0">
      <w:pPr>
        <w:rPr>
          <w:b/>
          <w:bCs/>
        </w:rPr>
      </w:pPr>
    </w:p>
    <w:p w14:paraId="69084C70" w14:textId="4425C191" w:rsidR="004B5CE0" w:rsidRPr="004B5CE0" w:rsidRDefault="004B5CE0" w:rsidP="004B5CE0">
      <w:pPr>
        <w:pStyle w:val="Heading1"/>
      </w:pPr>
      <w:r w:rsidRPr="004B5CE0">
        <w:t>Deadline</w:t>
      </w:r>
    </w:p>
    <w:p w14:paraId="7E694A10" w14:textId="0239A378" w:rsidR="004B5CE0" w:rsidRPr="004B5CE0" w:rsidRDefault="004B5CE0" w:rsidP="004B5CE0">
      <w:r w:rsidRPr="004B5CE0">
        <w:t xml:space="preserve">Peer reviews should be completed by </w:t>
      </w:r>
      <w:r>
        <w:rPr>
          <w:b/>
          <w:bCs/>
        </w:rPr>
        <w:t xml:space="preserve">29 </w:t>
      </w:r>
      <w:proofErr w:type="gramStart"/>
      <w:r>
        <w:rPr>
          <w:b/>
          <w:bCs/>
        </w:rPr>
        <w:t>July,</w:t>
      </w:r>
      <w:proofErr w:type="gramEnd"/>
      <w:r>
        <w:rPr>
          <w:b/>
          <w:bCs/>
        </w:rPr>
        <w:t xml:space="preserve"> 2022.</w:t>
      </w:r>
    </w:p>
    <w:p w14:paraId="6D624B3A" w14:textId="728237AC" w:rsidR="004B5CE0" w:rsidRDefault="004B5CE0" w:rsidP="004B5CE0">
      <w:r>
        <w:t xml:space="preserve">All peer reviews should be sent to </w:t>
      </w:r>
      <w:hyperlink r:id="rId5" w:history="1">
        <w:r w:rsidRPr="00572D7C">
          <w:rPr>
            <w:rStyle w:val="Hyperlink"/>
          </w:rPr>
          <w:t>Nikki.Andersen@usq.edu.au</w:t>
        </w:r>
      </w:hyperlink>
      <w:r>
        <w:t xml:space="preserve"> </w:t>
      </w:r>
    </w:p>
    <w:p w14:paraId="69B50308" w14:textId="4A6C4E83" w:rsidR="004B5CE0" w:rsidRPr="004B5CE0" w:rsidRDefault="004B5CE0" w:rsidP="004B5CE0">
      <w:pPr>
        <w:rPr>
          <w:b/>
          <w:bCs/>
        </w:rPr>
      </w:pPr>
      <w:r w:rsidRPr="004B5CE0">
        <w:rPr>
          <w:b/>
          <w:bCs/>
        </w:rPr>
        <w:t xml:space="preserve">About the </w:t>
      </w:r>
      <w:r>
        <w:rPr>
          <w:b/>
          <w:bCs/>
        </w:rPr>
        <w:t>Guide</w:t>
      </w:r>
    </w:p>
    <w:p w14:paraId="5DE544FA" w14:textId="0DEC37BF" w:rsidR="004B5CE0" w:rsidRDefault="004B5CE0" w:rsidP="004B5CE0">
      <w:r>
        <w:t xml:space="preserve">Enhancing Inclusion, Diversity, </w:t>
      </w:r>
      <w:proofErr w:type="gramStart"/>
      <w:r>
        <w:t>Equity</w:t>
      </w:r>
      <w:proofErr w:type="gramEnd"/>
      <w:r>
        <w:t xml:space="preserve"> and Inclusion (IDEA) in Open Educational Resources (OER) is a framework and guide – a</w:t>
      </w:r>
      <w:r w:rsidRPr="004B5CE0">
        <w:t xml:space="preserve"> practical starting point for creating new open educational resources (OER) and assessing and editing OER for inclusion, diversity, equity and accessibility (IDEA).</w:t>
      </w:r>
      <w:r>
        <w:t xml:space="preserve"> E</w:t>
      </w:r>
      <w:r w:rsidRPr="004B5CE0">
        <w:t xml:space="preserve">ach section of the framework </w:t>
      </w:r>
      <w:r>
        <w:t xml:space="preserve">provides </w:t>
      </w:r>
      <w:r w:rsidRPr="004B5CE0">
        <w:t>resources and good practice examples to help you make your OER more inclusive.</w:t>
      </w:r>
    </w:p>
    <w:p w14:paraId="3A23525C" w14:textId="42419FEF" w:rsidR="004B5CE0" w:rsidRDefault="004B5CE0" w:rsidP="004B5CE0">
      <w:r>
        <w:t xml:space="preserve">This guide is an Australian adaption from </w:t>
      </w:r>
      <w:r w:rsidRPr="004B5CE0">
        <w:t> </w:t>
      </w:r>
      <w:hyperlink r:id="rId6" w:tgtFrame="_blank" w:history="1">
        <w:r w:rsidRPr="004B5CE0">
          <w:rPr>
            <w:rStyle w:val="Hyperlink"/>
          </w:rPr>
          <w:t>OpenStax’s</w:t>
        </w:r>
      </w:hyperlink>
      <w:r w:rsidRPr="004B5CE0">
        <w:t> </w:t>
      </w:r>
      <w:hyperlink r:id="rId7" w:tgtFrame="_blank" w:history="1">
        <w:r w:rsidRPr="004B5CE0">
          <w:rPr>
            <w:rStyle w:val="Hyperlink"/>
          </w:rPr>
          <w:t>Improving Representation and Diversity in OER Materials </w:t>
        </w:r>
      </w:hyperlink>
      <w:r w:rsidRPr="004B5CE0">
        <w:t>[PDF], licensed under a </w:t>
      </w:r>
      <w:hyperlink r:id="rId8" w:tgtFrame="_blank" w:history="1">
        <w:r w:rsidRPr="004B5CE0">
          <w:rPr>
            <w:rStyle w:val="Hyperlink"/>
          </w:rPr>
          <w:t>Creative Commons International Attribution 4.0 Licence</w:t>
        </w:r>
      </w:hyperlink>
      <w:r w:rsidRPr="004B5CE0">
        <w:t>, and the </w:t>
      </w:r>
      <w:hyperlink r:id="rId9" w:tgtFrame="_blank" w:history="1">
        <w:r w:rsidRPr="004B5CE0">
          <w:rPr>
            <w:rStyle w:val="Hyperlink"/>
          </w:rPr>
          <w:t>Framework for Reviewing Equity, Diversity, and Inclusion in Open Educational Resources</w:t>
        </w:r>
      </w:hyperlink>
      <w:r w:rsidRPr="004B5CE0">
        <w:t> by Rachel Arteaga and Mandeep Grewal which licensed under a </w:t>
      </w:r>
      <w:hyperlink r:id="rId10" w:tgtFrame="_blank" w:history="1">
        <w:r w:rsidRPr="004B5CE0">
          <w:rPr>
            <w:rStyle w:val="Hyperlink"/>
          </w:rPr>
          <w:t>Creative Commons International Attribution 4.0 Licence</w:t>
        </w:r>
      </w:hyperlink>
      <w:r w:rsidRPr="004B5CE0">
        <w:t>.</w:t>
      </w:r>
    </w:p>
    <w:p w14:paraId="02FC3B95" w14:textId="77777777" w:rsidR="004B5CE0" w:rsidRPr="004B5CE0" w:rsidRDefault="004B5CE0" w:rsidP="004B5CE0">
      <w:r w:rsidRPr="004B5CE0">
        <w:t>Parts within the book include: </w:t>
      </w:r>
    </w:p>
    <w:p w14:paraId="60FE1861" w14:textId="2D8AA74D" w:rsidR="004B5CE0" w:rsidRDefault="004B5CE0" w:rsidP="004B5CE0">
      <w:pPr>
        <w:numPr>
          <w:ilvl w:val="0"/>
          <w:numId w:val="1"/>
        </w:numPr>
      </w:pPr>
      <w:r>
        <w:t>Framework for Reviewing Inclusion, Diversity, Equity and Accessibility in OER</w:t>
      </w:r>
    </w:p>
    <w:p w14:paraId="3B410FF0" w14:textId="465B9AA7" w:rsidR="004B5CE0" w:rsidRDefault="004B5CE0" w:rsidP="004B5CE0">
      <w:pPr>
        <w:numPr>
          <w:ilvl w:val="0"/>
          <w:numId w:val="1"/>
        </w:numPr>
      </w:pPr>
      <w:r>
        <w:t xml:space="preserve">Diverse and Inclusive Imagery </w:t>
      </w:r>
    </w:p>
    <w:p w14:paraId="3CCBFDA4" w14:textId="0D545796" w:rsidR="004B5CE0" w:rsidRDefault="004B5CE0" w:rsidP="004B5CE0">
      <w:pPr>
        <w:numPr>
          <w:ilvl w:val="0"/>
          <w:numId w:val="1"/>
        </w:numPr>
      </w:pPr>
      <w:r>
        <w:t>Example Names</w:t>
      </w:r>
    </w:p>
    <w:p w14:paraId="77B0BD5A" w14:textId="581132AC" w:rsidR="004B5CE0" w:rsidRDefault="004B5CE0" w:rsidP="004B5CE0">
      <w:pPr>
        <w:numPr>
          <w:ilvl w:val="0"/>
          <w:numId w:val="1"/>
        </w:numPr>
      </w:pPr>
      <w:r>
        <w:t>Inclusive Language</w:t>
      </w:r>
    </w:p>
    <w:p w14:paraId="26D1D544" w14:textId="4BF52EAB" w:rsidR="004B5CE0" w:rsidRDefault="004B5CE0" w:rsidP="004B5CE0">
      <w:pPr>
        <w:numPr>
          <w:ilvl w:val="0"/>
          <w:numId w:val="1"/>
        </w:numPr>
      </w:pPr>
      <w:r>
        <w:t>Researchers and References</w:t>
      </w:r>
    </w:p>
    <w:p w14:paraId="180C3445" w14:textId="6933CC02" w:rsidR="004B5CE0" w:rsidRDefault="004B5CE0" w:rsidP="004B5CE0">
      <w:pPr>
        <w:numPr>
          <w:ilvl w:val="0"/>
          <w:numId w:val="1"/>
        </w:numPr>
      </w:pPr>
      <w:r>
        <w:t>Diverse Examples and Balanced Perspectives</w:t>
      </w:r>
    </w:p>
    <w:p w14:paraId="032663D6" w14:textId="580939CF" w:rsidR="004B5CE0" w:rsidRDefault="004B5CE0" w:rsidP="004B5CE0">
      <w:pPr>
        <w:numPr>
          <w:ilvl w:val="0"/>
          <w:numId w:val="1"/>
        </w:numPr>
      </w:pPr>
      <w:r>
        <w:t>Appropriate Terminology and Inclusive Metadata</w:t>
      </w:r>
    </w:p>
    <w:p w14:paraId="74FBA2A5" w14:textId="441D576B" w:rsidR="004B5CE0" w:rsidRDefault="004B5CE0" w:rsidP="004B5CE0">
      <w:pPr>
        <w:numPr>
          <w:ilvl w:val="0"/>
          <w:numId w:val="1"/>
        </w:numPr>
      </w:pPr>
      <w:r>
        <w:t>Indigenisation, Decolonisation and Cultural Inclusion</w:t>
      </w:r>
    </w:p>
    <w:p w14:paraId="34AF8AAC" w14:textId="44D7650D" w:rsidR="004B5CE0" w:rsidRDefault="004B5CE0" w:rsidP="004B5CE0">
      <w:pPr>
        <w:numPr>
          <w:ilvl w:val="0"/>
          <w:numId w:val="1"/>
        </w:numPr>
      </w:pPr>
      <w:r>
        <w:t>Accessibility, Usability, and Universal Design for Learning</w:t>
      </w:r>
    </w:p>
    <w:p w14:paraId="21EBF96D" w14:textId="43ABC6FF" w:rsidR="004B5CE0" w:rsidRPr="004B5CE0" w:rsidRDefault="004B5CE0" w:rsidP="004B5CE0">
      <w:pPr>
        <w:numPr>
          <w:ilvl w:val="0"/>
          <w:numId w:val="1"/>
        </w:numPr>
      </w:pPr>
      <w:r>
        <w:t xml:space="preserve">Anti-Racist and Inclusive Pedagogy </w:t>
      </w:r>
      <w:r w:rsidRPr="004B5CE0">
        <w:br/>
      </w:r>
    </w:p>
    <w:p w14:paraId="74CC8078" w14:textId="77777777" w:rsidR="004B5CE0" w:rsidRPr="004B5CE0" w:rsidRDefault="004B5CE0" w:rsidP="004B5CE0">
      <w:pPr>
        <w:rPr>
          <w:b/>
          <w:bCs/>
        </w:rPr>
      </w:pPr>
      <w:r w:rsidRPr="004B5CE0">
        <w:rPr>
          <w:b/>
          <w:bCs/>
        </w:rPr>
        <w:t>How to Review</w:t>
      </w:r>
    </w:p>
    <w:p w14:paraId="64696C6F" w14:textId="065BBEDB" w:rsidR="004B5CE0" w:rsidRPr="004B5CE0" w:rsidRDefault="004B5CE0" w:rsidP="004B5CE0">
      <w:r>
        <w:t xml:space="preserve">You are welcome to review a certain section or the whole guide. </w:t>
      </w:r>
      <w:r w:rsidRPr="004B5CE0">
        <w:t>When reviewing, consider the following:</w:t>
      </w:r>
    </w:p>
    <w:p w14:paraId="3B71CD72" w14:textId="77777777" w:rsidR="004B5CE0" w:rsidRPr="004B5CE0" w:rsidRDefault="004B5CE0" w:rsidP="004B5CE0">
      <w:pPr>
        <w:numPr>
          <w:ilvl w:val="0"/>
          <w:numId w:val="2"/>
        </w:numPr>
      </w:pPr>
      <w:r w:rsidRPr="004B5CE0">
        <w:rPr>
          <w:b/>
          <w:bCs/>
        </w:rPr>
        <w:t>Comprehensiveness</w:t>
      </w:r>
      <w:r w:rsidRPr="004B5CE0">
        <w:t>: The text covers all areas and ideas of the subject appropriately and provides an effective index and/or glossary.</w:t>
      </w:r>
    </w:p>
    <w:p w14:paraId="17E35034" w14:textId="77777777" w:rsidR="004B5CE0" w:rsidRPr="004B5CE0" w:rsidRDefault="004B5CE0" w:rsidP="004B5CE0">
      <w:pPr>
        <w:numPr>
          <w:ilvl w:val="0"/>
          <w:numId w:val="2"/>
        </w:numPr>
      </w:pPr>
      <w:r w:rsidRPr="004B5CE0">
        <w:rPr>
          <w:b/>
          <w:bCs/>
        </w:rPr>
        <w:t>Content Accuracy</w:t>
      </w:r>
      <w:r w:rsidRPr="004B5CE0">
        <w:t>: Content is accurate, error-</w:t>
      </w:r>
      <w:proofErr w:type="gramStart"/>
      <w:r w:rsidRPr="004B5CE0">
        <w:t>free</w:t>
      </w:r>
      <w:proofErr w:type="gramEnd"/>
      <w:r w:rsidRPr="004B5CE0">
        <w:t xml:space="preserve"> and unbiased.</w:t>
      </w:r>
    </w:p>
    <w:p w14:paraId="0688A0CD" w14:textId="77777777" w:rsidR="004B5CE0" w:rsidRPr="004B5CE0" w:rsidRDefault="004B5CE0" w:rsidP="004B5CE0">
      <w:pPr>
        <w:numPr>
          <w:ilvl w:val="0"/>
          <w:numId w:val="2"/>
        </w:numPr>
      </w:pPr>
      <w:r w:rsidRPr="004B5CE0">
        <w:rPr>
          <w:b/>
          <w:bCs/>
        </w:rPr>
        <w:lastRenderedPageBreak/>
        <w:t>Relevance Longevity</w:t>
      </w:r>
      <w:r w:rsidRPr="004B5CE0">
        <w:t xml:space="preserve">: Content is </w:t>
      </w:r>
      <w:proofErr w:type="gramStart"/>
      <w:r w:rsidRPr="004B5CE0">
        <w:t>up-to-date</w:t>
      </w:r>
      <w:proofErr w:type="gramEnd"/>
      <w:r w:rsidRPr="004B5CE0">
        <w:t>, but not in a way that will quickly make the text obsolete within a short period of time. The text is written and/or arranged in such a way that necessary updates will be relatively easy and straightforward to implement.</w:t>
      </w:r>
    </w:p>
    <w:p w14:paraId="428D9E02" w14:textId="77777777" w:rsidR="004B5CE0" w:rsidRPr="004B5CE0" w:rsidRDefault="004B5CE0" w:rsidP="004B5CE0">
      <w:pPr>
        <w:numPr>
          <w:ilvl w:val="0"/>
          <w:numId w:val="2"/>
        </w:numPr>
      </w:pPr>
      <w:r w:rsidRPr="004B5CE0">
        <w:rPr>
          <w:b/>
          <w:bCs/>
        </w:rPr>
        <w:t>Clarity</w:t>
      </w:r>
      <w:r w:rsidRPr="004B5CE0">
        <w:t>: The text is written in lucid, accessible prose, and provides adequate context for any jargon/technical terminology used.</w:t>
      </w:r>
    </w:p>
    <w:p w14:paraId="4DF37BC8" w14:textId="77777777" w:rsidR="004B5CE0" w:rsidRPr="004B5CE0" w:rsidRDefault="004B5CE0" w:rsidP="004B5CE0">
      <w:pPr>
        <w:numPr>
          <w:ilvl w:val="0"/>
          <w:numId w:val="2"/>
        </w:numPr>
      </w:pPr>
      <w:r w:rsidRPr="004B5CE0">
        <w:rPr>
          <w:b/>
          <w:bCs/>
        </w:rPr>
        <w:t>Consistency</w:t>
      </w:r>
      <w:r w:rsidRPr="004B5CE0">
        <w:t>: The text is internally consistent in terms of terminology and framework.</w:t>
      </w:r>
    </w:p>
    <w:p w14:paraId="10E08552" w14:textId="36DD52DE" w:rsidR="004B5CE0" w:rsidRPr="004B5CE0" w:rsidRDefault="004B5CE0" w:rsidP="004B5CE0">
      <w:pPr>
        <w:numPr>
          <w:ilvl w:val="0"/>
          <w:numId w:val="2"/>
        </w:numPr>
      </w:pPr>
      <w:r w:rsidRPr="004B5CE0">
        <w:rPr>
          <w:b/>
          <w:bCs/>
        </w:rPr>
        <w:t>Organi</w:t>
      </w:r>
      <w:r>
        <w:rPr>
          <w:b/>
          <w:bCs/>
        </w:rPr>
        <w:t>s</w:t>
      </w:r>
      <w:r w:rsidRPr="004B5CE0">
        <w:rPr>
          <w:b/>
          <w:bCs/>
        </w:rPr>
        <w:t>ation Structure Flow</w:t>
      </w:r>
      <w:r w:rsidRPr="004B5CE0">
        <w:t>: The topics in the text are presented in a logical, clear fashion.</w:t>
      </w:r>
    </w:p>
    <w:p w14:paraId="10675037" w14:textId="77777777" w:rsidR="004B5CE0" w:rsidRPr="004B5CE0" w:rsidRDefault="004B5CE0" w:rsidP="004B5CE0">
      <w:pPr>
        <w:numPr>
          <w:ilvl w:val="0"/>
          <w:numId w:val="2"/>
        </w:numPr>
      </w:pPr>
      <w:r w:rsidRPr="004B5CE0">
        <w:rPr>
          <w:b/>
          <w:bCs/>
        </w:rPr>
        <w:t>Grammatical Errors</w:t>
      </w:r>
      <w:r w:rsidRPr="004B5CE0">
        <w:t>: The text contains no grammatical errors. </w:t>
      </w:r>
    </w:p>
    <w:p w14:paraId="667D1503" w14:textId="77777777" w:rsidR="004B5CE0" w:rsidRPr="004B5CE0" w:rsidRDefault="004B5CE0" w:rsidP="004B5CE0">
      <w:pPr>
        <w:numPr>
          <w:ilvl w:val="0"/>
          <w:numId w:val="2"/>
        </w:numPr>
      </w:pPr>
      <w:r w:rsidRPr="004B5CE0">
        <w:rPr>
          <w:b/>
          <w:bCs/>
        </w:rPr>
        <w:t>Cultural Relevance</w:t>
      </w:r>
      <w:r w:rsidRPr="004B5CE0">
        <w:t>: The text is not culturally insensitive or offensive in any way. It should make use of examples that are inclusive of a variety of races, ethnicities, and backgrounds.</w:t>
      </w:r>
    </w:p>
    <w:p w14:paraId="679BF56B" w14:textId="77777777" w:rsidR="004B5CE0" w:rsidRPr="004B5CE0" w:rsidRDefault="004B5CE0" w:rsidP="004B5CE0">
      <w:r w:rsidRPr="004B5CE0">
        <w:rPr>
          <w:i/>
          <w:iCs/>
        </w:rPr>
        <w:t xml:space="preserve">This rubric was developed by </w:t>
      </w:r>
      <w:hyperlink r:id="rId11" w:history="1">
        <w:proofErr w:type="spellStart"/>
        <w:r w:rsidRPr="004B5CE0">
          <w:rPr>
            <w:rStyle w:val="Hyperlink"/>
            <w:i/>
            <w:iCs/>
          </w:rPr>
          <w:t>BCcampus</w:t>
        </w:r>
        <w:proofErr w:type="spellEnd"/>
        <w:r w:rsidRPr="004B5CE0">
          <w:rPr>
            <w:rStyle w:val="Hyperlink"/>
            <w:i/>
            <w:iCs/>
          </w:rPr>
          <w:t xml:space="preserve"> Open Education</w:t>
        </w:r>
      </w:hyperlink>
      <w:r w:rsidRPr="004B5CE0">
        <w:rPr>
          <w:i/>
          <w:iCs/>
        </w:rPr>
        <w:t xml:space="preserve">. This work is licensed under a </w:t>
      </w:r>
      <w:hyperlink r:id="rId12" w:history="1">
        <w:r w:rsidRPr="004B5CE0">
          <w:rPr>
            <w:rStyle w:val="Hyperlink"/>
            <w:i/>
            <w:iCs/>
          </w:rPr>
          <w:t xml:space="preserve">Creative Commons Attribution 3.0 </w:t>
        </w:r>
        <w:proofErr w:type="spellStart"/>
        <w:r w:rsidRPr="004B5CE0">
          <w:rPr>
            <w:rStyle w:val="Hyperlink"/>
            <w:i/>
            <w:iCs/>
          </w:rPr>
          <w:t>Unported</w:t>
        </w:r>
        <w:proofErr w:type="spellEnd"/>
      </w:hyperlink>
      <w:r w:rsidRPr="004B5CE0">
        <w:rPr>
          <w:i/>
          <w:iCs/>
        </w:rPr>
        <w:t xml:space="preserve"> license.</w:t>
      </w:r>
    </w:p>
    <w:p w14:paraId="65230833" w14:textId="77777777" w:rsidR="004B5CE0" w:rsidRPr="004B5CE0" w:rsidRDefault="004B5CE0" w:rsidP="004B5CE0">
      <w:pPr>
        <w:rPr>
          <w:b/>
          <w:bCs/>
        </w:rPr>
      </w:pPr>
      <w:r w:rsidRPr="004B5CE0">
        <w:rPr>
          <w:b/>
          <w:bCs/>
          <w:i/>
          <w:iCs/>
        </w:rPr>
        <w:t>Specific Questions</w:t>
      </w:r>
    </w:p>
    <w:p w14:paraId="0BFE6FD0" w14:textId="77777777" w:rsidR="004B5CE0" w:rsidRPr="004B5CE0" w:rsidRDefault="004B5CE0" w:rsidP="004B5CE0">
      <w:r w:rsidRPr="004B5CE0">
        <w:t>Other considerations to keep in mind for this text are provided below: </w:t>
      </w:r>
    </w:p>
    <w:p w14:paraId="3B142587" w14:textId="4E33ED00" w:rsidR="004B5CE0" w:rsidRPr="004B5CE0" w:rsidRDefault="004B5CE0" w:rsidP="004B5CE0">
      <w:pPr>
        <w:numPr>
          <w:ilvl w:val="0"/>
          <w:numId w:val="3"/>
        </w:numPr>
      </w:pPr>
      <w:r w:rsidRPr="004B5CE0">
        <w:rPr>
          <w:b/>
          <w:bCs/>
        </w:rPr>
        <w:t>Practicality</w:t>
      </w:r>
      <w:r w:rsidRPr="004B5CE0">
        <w:t xml:space="preserve">: The text provides clear examples of how OER </w:t>
      </w:r>
      <w:r>
        <w:t xml:space="preserve">can be more diverse, </w:t>
      </w:r>
      <w:proofErr w:type="gramStart"/>
      <w:r>
        <w:t>inclusive</w:t>
      </w:r>
      <w:proofErr w:type="gramEnd"/>
      <w:r>
        <w:t xml:space="preserve"> and accessible. </w:t>
      </w:r>
    </w:p>
    <w:p w14:paraId="0EF070E8" w14:textId="59E0B064" w:rsidR="004B5CE0" w:rsidRPr="004B5CE0" w:rsidRDefault="004B5CE0" w:rsidP="004B5CE0">
      <w:pPr>
        <w:numPr>
          <w:ilvl w:val="0"/>
          <w:numId w:val="3"/>
        </w:numPr>
      </w:pPr>
      <w:r w:rsidRPr="004B5CE0">
        <w:rPr>
          <w:b/>
          <w:bCs/>
        </w:rPr>
        <w:t>Generali</w:t>
      </w:r>
      <w:r>
        <w:rPr>
          <w:b/>
          <w:bCs/>
        </w:rPr>
        <w:t>s</w:t>
      </w:r>
      <w:r w:rsidRPr="004B5CE0">
        <w:rPr>
          <w:b/>
          <w:bCs/>
        </w:rPr>
        <w:t>ability</w:t>
      </w:r>
      <w:r w:rsidRPr="004B5CE0">
        <w:t>: The examples and tips provided within the text are generali</w:t>
      </w:r>
      <w:r>
        <w:t>s</w:t>
      </w:r>
      <w:r w:rsidRPr="004B5CE0">
        <w:t xml:space="preserve">able for staff </w:t>
      </w:r>
      <w:r>
        <w:t>working in higher education and librarians</w:t>
      </w:r>
    </w:p>
    <w:p w14:paraId="392824FC" w14:textId="77777777" w:rsidR="004B5CE0" w:rsidRPr="004B5CE0" w:rsidRDefault="004B5CE0" w:rsidP="004B5CE0">
      <w:pPr>
        <w:numPr>
          <w:ilvl w:val="0"/>
          <w:numId w:val="3"/>
        </w:numPr>
      </w:pPr>
      <w:r w:rsidRPr="004B5CE0">
        <w:rPr>
          <w:b/>
          <w:bCs/>
        </w:rPr>
        <w:t>Specificity</w:t>
      </w:r>
      <w:r w:rsidRPr="004B5CE0">
        <w:t>: The examples and tips provided within the text are specific enough to help readers navigate and/or recreate projects in their own context. </w:t>
      </w:r>
    </w:p>
    <w:p w14:paraId="541FB3EF" w14:textId="7749E7CA" w:rsidR="004B5CE0" w:rsidRPr="004B5CE0" w:rsidRDefault="004B5CE0" w:rsidP="004B5CE0">
      <w:pPr>
        <w:numPr>
          <w:ilvl w:val="0"/>
          <w:numId w:val="3"/>
        </w:numPr>
      </w:pPr>
      <w:r w:rsidRPr="004B5CE0">
        <w:rPr>
          <w:b/>
          <w:bCs/>
        </w:rPr>
        <w:t>Diversity, Equity, and Inclusion</w:t>
      </w:r>
      <w:r w:rsidRPr="004B5CE0">
        <w:t xml:space="preserve">: The text models the tenets of </w:t>
      </w:r>
      <w:r>
        <w:t xml:space="preserve">diversity, </w:t>
      </w:r>
      <w:proofErr w:type="gramStart"/>
      <w:r>
        <w:t>equity</w:t>
      </w:r>
      <w:proofErr w:type="gramEnd"/>
      <w:r>
        <w:t xml:space="preserve"> and inclusion </w:t>
      </w:r>
      <w:r w:rsidRPr="004B5CE0">
        <w:t>work by including the practices and works of scholars from a diverse set of backgrounds, and by acknowledging the contexts in which DEI efforts should be integrated into OER program management. Please recommend authors and topics to include if they are not already present.</w:t>
      </w:r>
    </w:p>
    <w:p w14:paraId="391A2BF9" w14:textId="77777777" w:rsidR="00C84B96" w:rsidRDefault="004B5CE0"/>
    <w:sectPr w:rsidR="00C84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41"/>
    <w:multiLevelType w:val="multilevel"/>
    <w:tmpl w:val="7E0E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066E1"/>
    <w:multiLevelType w:val="multilevel"/>
    <w:tmpl w:val="2F30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04C6A"/>
    <w:multiLevelType w:val="multilevel"/>
    <w:tmpl w:val="9238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E0"/>
    <w:rsid w:val="004B5CE0"/>
    <w:rsid w:val="00890DFE"/>
    <w:rsid w:val="00944CA8"/>
    <w:rsid w:val="0099238A"/>
    <w:rsid w:val="00E87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EB8A"/>
  <w15:chartTrackingRefBased/>
  <w15:docId w15:val="{7F2B07C4-4322-42BA-9CA8-30C4F4CA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CE0"/>
    <w:rPr>
      <w:color w:val="0563C1" w:themeColor="hyperlink"/>
      <w:u w:val="single"/>
    </w:rPr>
  </w:style>
  <w:style w:type="character" w:styleId="UnresolvedMention">
    <w:name w:val="Unresolved Mention"/>
    <w:basedOn w:val="DefaultParagraphFont"/>
    <w:uiPriority w:val="99"/>
    <w:semiHidden/>
    <w:unhideWhenUsed/>
    <w:rsid w:val="004B5CE0"/>
    <w:rPr>
      <w:color w:val="605E5C"/>
      <w:shd w:val="clear" w:color="auto" w:fill="E1DFDD"/>
    </w:rPr>
  </w:style>
  <w:style w:type="character" w:customStyle="1" w:styleId="Heading1Char">
    <w:name w:val="Heading 1 Char"/>
    <w:basedOn w:val="DefaultParagraphFont"/>
    <w:link w:val="Heading1"/>
    <w:uiPriority w:val="9"/>
    <w:rsid w:val="004B5C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ref=chooser-v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3bxy9euw4e147.cloudfront.net/oscms-prod/media/documents/OpenStax_Representation_and_Diversity_Development_Guidelines.pdf" TargetMode="External"/><Relationship Id="rId12" Type="http://schemas.openxmlformats.org/officeDocument/2006/relationships/hyperlink" Target="http://creativecommons.org/licenses/by/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 TargetMode="External"/><Relationship Id="rId11" Type="http://schemas.openxmlformats.org/officeDocument/2006/relationships/hyperlink" Target="http://open.bccampus.ca/" TargetMode="External"/><Relationship Id="rId5" Type="http://schemas.openxmlformats.org/officeDocument/2006/relationships/hyperlink" Target="mailto:Nikki.Andersen@usq.edu.au" TargetMode="External"/><Relationship Id="rId10" Type="http://schemas.openxmlformats.org/officeDocument/2006/relationships/hyperlink" Target="https://creativecommons.org/licenses/by/4.0/?ref=chooser-v1" TargetMode="External"/><Relationship Id="rId4" Type="http://schemas.openxmlformats.org/officeDocument/2006/relationships/webSettings" Target="webSettings.xml"/><Relationship Id="rId9" Type="http://schemas.openxmlformats.org/officeDocument/2006/relationships/hyperlink" Target="https://docs.google.com/document/d/1FVYrpqXTOVPcfbyhpqpdi-VH1c-sJwEJh0OLkpiFEqI/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Andersen</dc:creator>
  <cp:keywords/>
  <dc:description/>
  <cp:lastModifiedBy>Nikki Andersen</cp:lastModifiedBy>
  <cp:revision>1</cp:revision>
  <dcterms:created xsi:type="dcterms:W3CDTF">2022-06-15T00:44:00Z</dcterms:created>
  <dcterms:modified xsi:type="dcterms:W3CDTF">2022-06-15T00:53:00Z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ff8a3-050f-428f-b966-cc56f581f9b1_Enabled">
    <vt:lpwstr>true</vt:lpwstr>
  </property>
  <property fmtid="{D5CDD505-2E9C-101B-9397-08002B2CF9AE}" pid="3" name="MSIP_Label_b4fff8a3-050f-428f-b966-cc56f581f9b1_SetDate">
    <vt:lpwstr>2022-06-15T00:44:37Z</vt:lpwstr>
  </property>
  <property fmtid="{D5CDD505-2E9C-101B-9397-08002B2CF9AE}" pid="4" name="MSIP_Label_b4fff8a3-050f-428f-b966-cc56f581f9b1_Method">
    <vt:lpwstr>Standard</vt:lpwstr>
  </property>
  <property fmtid="{D5CDD505-2E9C-101B-9397-08002B2CF9AE}" pid="5" name="MSIP_Label_b4fff8a3-050f-428f-b966-cc56f581f9b1_Name">
    <vt:lpwstr>Official</vt:lpwstr>
  </property>
  <property fmtid="{D5CDD505-2E9C-101B-9397-08002B2CF9AE}" pid="6" name="MSIP_Label_b4fff8a3-050f-428f-b966-cc56f581f9b1_SiteId">
    <vt:lpwstr>7dfbfb93-19b6-4985-ac7e-501a37938456</vt:lpwstr>
  </property>
  <property fmtid="{D5CDD505-2E9C-101B-9397-08002B2CF9AE}" pid="7" name="MSIP_Label_b4fff8a3-050f-428f-b966-cc56f581f9b1_ActionId">
    <vt:lpwstr>49aaa07a-813e-4393-80c2-5d228ab87cd1</vt:lpwstr>
  </property>
  <property fmtid="{D5CDD505-2E9C-101B-9397-08002B2CF9AE}" pid="8" name="MSIP_Label_b4fff8a3-050f-428f-b966-cc56f581f9b1_ContentBits">
    <vt:lpwstr>0</vt:lpwstr>
  </property>
</Properties>
</file>